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4E1F" w:rsidRDefault="000F4E1F" w:rsidP="000F4E1F">
      <w:pPr>
        <w:jc w:val="left"/>
        <w:rPr>
          <w:rFonts w:ascii="宋体" w:hAnsi="宋体" w:cs="宋体"/>
          <w:b/>
          <w:bCs/>
          <w:sz w:val="30"/>
          <w:szCs w:val="30"/>
        </w:rPr>
      </w:pPr>
      <w:r>
        <w:rPr>
          <w:rFonts w:ascii="宋体" w:hAnsi="宋体" w:cs="宋体" w:hint="eastAsia"/>
          <w:b/>
          <w:bCs/>
          <w:sz w:val="30"/>
          <w:szCs w:val="30"/>
        </w:rPr>
        <w:t>附件2:</w:t>
      </w:r>
    </w:p>
    <w:p w:rsidR="000F4E1F" w:rsidRDefault="000F4E1F" w:rsidP="000F4E1F">
      <w:pPr>
        <w:spacing w:line="520" w:lineRule="exact"/>
        <w:jc w:val="center"/>
        <w:rPr>
          <w:rFonts w:ascii="黑体" w:eastAsia="黑体" w:hAnsi="黑体" w:cs="仿宋_GB2312"/>
          <w:sz w:val="36"/>
          <w:szCs w:val="36"/>
        </w:rPr>
      </w:pPr>
      <w:r>
        <w:rPr>
          <w:rFonts w:hint="eastAsia"/>
          <w:b/>
          <w:bCs/>
          <w:sz w:val="36"/>
          <w:szCs w:val="36"/>
        </w:rPr>
        <w:t>中国京剧艺术普通纪念币</w:t>
      </w:r>
      <w:r>
        <w:rPr>
          <w:rFonts w:ascii="黑体" w:eastAsia="黑体" w:hAnsi="黑体" w:cs="仿宋_GB2312" w:hint="eastAsia"/>
          <w:sz w:val="36"/>
          <w:szCs w:val="36"/>
        </w:rPr>
        <w:t>贵州省预约记录查询地址</w:t>
      </w:r>
    </w:p>
    <w:p w:rsidR="000F4E1F" w:rsidRDefault="000F4E1F" w:rsidP="000F4E1F">
      <w:pPr>
        <w:spacing w:line="520" w:lineRule="exact"/>
        <w:ind w:firstLineChars="200" w:firstLine="600"/>
        <w:rPr>
          <w:rFonts w:ascii="仿宋_GB2312" w:eastAsia="仿宋_GB2312"/>
          <w:sz w:val="30"/>
          <w:szCs w:val="30"/>
        </w:rPr>
      </w:pPr>
    </w:p>
    <w:p w:rsidR="000F4E1F" w:rsidRDefault="000F4E1F" w:rsidP="000F4E1F">
      <w:pPr>
        <w:spacing w:line="520" w:lineRule="exact"/>
        <w:ind w:firstLineChars="200" w:firstLine="600"/>
        <w:rPr>
          <w:rFonts w:ascii="仿宋_GB2312" w:eastAsia="仿宋_GB2312" w:hAnsi="仿宋_GB2312"/>
          <w:sz w:val="30"/>
          <w:szCs w:val="30"/>
        </w:rPr>
      </w:pPr>
      <w:r>
        <w:rPr>
          <w:rFonts w:ascii="仿宋_GB2312" w:eastAsia="仿宋_GB2312" w:hint="eastAsia"/>
          <w:sz w:val="30"/>
          <w:szCs w:val="30"/>
        </w:rPr>
        <w:t>按照</w:t>
      </w:r>
      <w:r>
        <w:rPr>
          <w:rFonts w:ascii="仿宋_GB2312" w:eastAsia="仿宋_GB2312" w:hint="eastAsia"/>
          <w:sz w:val="32"/>
          <w:szCs w:val="32"/>
        </w:rPr>
        <w:t>中国京剧艺术普通纪念币</w:t>
      </w:r>
      <w:r>
        <w:rPr>
          <w:rFonts w:ascii="仿宋_GB2312" w:eastAsia="仿宋_GB2312" w:hAnsi="仿宋_GB2312" w:hint="eastAsia"/>
          <w:sz w:val="30"/>
          <w:szCs w:val="30"/>
        </w:rPr>
        <w:t>发行工作安</w:t>
      </w:r>
      <w:r>
        <w:rPr>
          <w:rFonts w:ascii="仿宋_GB2312" w:eastAsia="仿宋_GB2312" w:hint="eastAsia"/>
          <w:sz w:val="30"/>
          <w:szCs w:val="30"/>
        </w:rPr>
        <w:t>排，</w:t>
      </w:r>
      <w:r>
        <w:rPr>
          <w:rFonts w:ascii="仿宋_GB2312" w:eastAsia="仿宋_GB2312" w:hAnsi="仿宋_GB2312" w:hint="eastAsia"/>
          <w:sz w:val="30"/>
          <w:szCs w:val="30"/>
        </w:rPr>
        <w:t>预约核实期（2025年11月22日至11月24日）内，未通过核查的公众可持预约登记的第二代居民身份证原件，前往预约登记的预约承办银行网点办理撤销违约记录和保留兑换资格业务。公众若代他人撤销重复预约记录及保留兑换资格业务，须提供代办人和被代办人的有效第二代居民身份证原件。若对其预约记录存在异议，由本人持第二代居民身份证原件到中国人民银行在贵州辖内各级分支机构核验查询，具体地址详见下表：</w:t>
      </w:r>
    </w:p>
    <w:p w:rsidR="000F4E1F" w:rsidRDefault="000F4E1F" w:rsidP="000F4E1F"/>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9"/>
        <w:gridCol w:w="6946"/>
      </w:tblGrid>
      <w:tr w:rsidR="000F4E1F" w:rsidTr="00384394">
        <w:tc>
          <w:tcPr>
            <w:tcW w:w="1809" w:type="dxa"/>
            <w:vAlign w:val="center"/>
          </w:tcPr>
          <w:p w:rsidR="000F4E1F" w:rsidRDefault="000F4E1F" w:rsidP="00384394">
            <w:pPr>
              <w:spacing w:line="360" w:lineRule="auto"/>
              <w:jc w:val="center"/>
              <w:rPr>
                <w:rFonts w:ascii="仿宋_GB2312" w:eastAsia="仿宋_GB2312"/>
                <w:b/>
                <w:color w:val="000000"/>
                <w:sz w:val="28"/>
                <w:szCs w:val="28"/>
              </w:rPr>
            </w:pPr>
            <w:r>
              <w:rPr>
                <w:rFonts w:ascii="仿宋_GB2312" w:eastAsia="仿宋_GB2312" w:hint="eastAsia"/>
                <w:b/>
                <w:color w:val="000000"/>
                <w:sz w:val="28"/>
                <w:szCs w:val="28"/>
              </w:rPr>
              <w:t>单位</w:t>
            </w:r>
          </w:p>
        </w:tc>
        <w:tc>
          <w:tcPr>
            <w:tcW w:w="6946" w:type="dxa"/>
            <w:vAlign w:val="center"/>
          </w:tcPr>
          <w:p w:rsidR="000F4E1F" w:rsidRDefault="000F4E1F" w:rsidP="00384394">
            <w:pPr>
              <w:spacing w:line="360" w:lineRule="auto"/>
              <w:jc w:val="center"/>
              <w:rPr>
                <w:rFonts w:ascii="仿宋_GB2312" w:eastAsia="仿宋_GB2312"/>
                <w:b/>
                <w:color w:val="000000"/>
                <w:sz w:val="28"/>
                <w:szCs w:val="28"/>
              </w:rPr>
            </w:pPr>
            <w:r>
              <w:rPr>
                <w:rFonts w:ascii="仿宋_GB2312" w:eastAsia="仿宋_GB2312" w:hint="eastAsia"/>
                <w:b/>
                <w:color w:val="000000"/>
                <w:sz w:val="28"/>
                <w:szCs w:val="28"/>
              </w:rPr>
              <w:t>地址</w:t>
            </w:r>
          </w:p>
        </w:tc>
      </w:tr>
      <w:tr w:rsidR="000F4E1F" w:rsidTr="00384394">
        <w:trPr>
          <w:trHeight w:val="638"/>
        </w:trPr>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中国人民银行贵州省分行</w:t>
            </w:r>
          </w:p>
        </w:tc>
        <w:tc>
          <w:tcPr>
            <w:tcW w:w="6946"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贵阳市南明区富源中路新世纪通达物流市场向南50米人民银行3楼305室</w:t>
            </w:r>
          </w:p>
        </w:tc>
      </w:tr>
      <w:tr w:rsidR="000F4E1F" w:rsidTr="00384394">
        <w:trPr>
          <w:trHeight w:val="420"/>
        </w:trPr>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中国人民银行遵义市分行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遵义市汇川区北海路66号人民银行3楼305室</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中国人民银行安顺市分行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安顺市西秀区塔山东路中国人民银行附属楼二楼货币金银科</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中国人民银行黔南州分行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黔南州都匀市斗篷山路173号人民银行一楼货币金银科</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中国人民银行黔东南州分行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凯里市博西路6号人民银行3楼301室</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w:t>
            </w:r>
            <w:r>
              <w:rPr>
                <w:rFonts w:ascii="仿宋_GB2312" w:eastAsia="仿宋_GB2312" w:hint="eastAsia"/>
                <w:color w:val="000000"/>
                <w:sz w:val="24"/>
                <w:szCs w:val="24"/>
              </w:rPr>
              <w:lastRenderedPageBreak/>
              <w:t>铜仁市分行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lastRenderedPageBreak/>
              <w:t>铜仁市碧江区东太大道355号人民银行办公楼308室</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lastRenderedPageBreak/>
              <w:t>中国人民银行毕节市分行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毕节市七星关区解放路6号人民银行3楼302室</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中国人民银行六盘水市分行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六盘水市钟山区明湖路640号人民银行9楼货币金银科</w:t>
            </w:r>
          </w:p>
        </w:tc>
      </w:tr>
      <w:tr w:rsidR="000F4E1F" w:rsidTr="00384394">
        <w:tc>
          <w:tcPr>
            <w:tcW w:w="1809" w:type="dxa"/>
            <w:vAlign w:val="center"/>
          </w:tcPr>
          <w:p w:rsidR="000F4E1F" w:rsidRDefault="000F4E1F" w:rsidP="00384394">
            <w:pPr>
              <w:rPr>
                <w:rFonts w:ascii="仿宋_GB2312" w:eastAsia="仿宋_GB2312"/>
                <w:color w:val="000000"/>
                <w:sz w:val="24"/>
                <w:szCs w:val="24"/>
              </w:rPr>
            </w:pPr>
            <w:r>
              <w:rPr>
                <w:rFonts w:ascii="仿宋_GB2312" w:eastAsia="仿宋_GB2312" w:hint="eastAsia"/>
                <w:color w:val="000000"/>
                <w:sz w:val="24"/>
                <w:szCs w:val="24"/>
              </w:rPr>
              <w:t>中国人民银行黔西南州分行</w:t>
            </w:r>
          </w:p>
        </w:tc>
        <w:tc>
          <w:tcPr>
            <w:tcW w:w="6946" w:type="dxa"/>
            <w:vAlign w:val="center"/>
          </w:tcPr>
          <w:p w:rsidR="000F4E1F" w:rsidRDefault="000F4E1F" w:rsidP="00384394">
            <w:pPr>
              <w:spacing w:line="360" w:lineRule="auto"/>
              <w:rPr>
                <w:rFonts w:ascii="仿宋_GB2312" w:eastAsia="仿宋_GB2312"/>
                <w:color w:val="000000"/>
                <w:sz w:val="24"/>
                <w:szCs w:val="24"/>
              </w:rPr>
            </w:pPr>
            <w:r>
              <w:rPr>
                <w:rFonts w:ascii="仿宋_GB2312" w:eastAsia="仿宋_GB2312" w:hint="eastAsia"/>
                <w:color w:val="000000"/>
                <w:sz w:val="24"/>
                <w:szCs w:val="24"/>
              </w:rPr>
              <w:t>兴义市瑞金南路42号人民银行3楼货币金银科</w:t>
            </w:r>
          </w:p>
        </w:tc>
      </w:tr>
    </w:tbl>
    <w:p w:rsidR="000F4E1F" w:rsidRDefault="000F4E1F" w:rsidP="000F4E1F">
      <w:pPr>
        <w:rPr>
          <w:sz w:val="24"/>
          <w:szCs w:val="24"/>
        </w:rPr>
      </w:pPr>
    </w:p>
    <w:p w:rsidR="000F4E1F" w:rsidRDefault="000F4E1F" w:rsidP="000F4E1F">
      <w:pPr>
        <w:jc w:val="left"/>
        <w:rPr>
          <w:rFonts w:ascii="宋体" w:hAnsi="宋体" w:cs="宋体"/>
          <w:b/>
          <w:bCs/>
          <w:sz w:val="30"/>
          <w:szCs w:val="30"/>
        </w:rPr>
      </w:pPr>
    </w:p>
    <w:p w:rsidR="00791BB1" w:rsidRPr="000F4E1F" w:rsidRDefault="00791BB1" w:rsidP="000F4E1F"/>
    <w:sectPr w:rsidR="00791BB1" w:rsidRPr="000F4E1F" w:rsidSect="005C1D3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微软雅黑"/>
    <w:panose1 w:val="02010600030101010101"/>
    <w:charset w:val="86"/>
    <w:family w:val="modern"/>
    <w:notTrueType/>
    <w:pitch w:val="fixed"/>
    <w:sig w:usb0="00000000" w:usb1="080E0000" w:usb2="00000010" w:usb3="00000000" w:csb0="00040000" w:csb1="00000000"/>
  </w:font>
  <w:font w:name="仿宋_GB2312">
    <w:altName w:val="微软雅黑"/>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E554D"/>
    <w:rsid w:val="000F4E1F"/>
    <w:rsid w:val="005E554D"/>
    <w:rsid w:val="00791B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4D"/>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Words>
  <Characters>512</Characters>
  <Application>Microsoft Office Word</Application>
  <DocSecurity>0</DocSecurity>
  <Lines>4</Lines>
  <Paragraphs>1</Paragraphs>
  <ScaleCrop>false</ScaleCrop>
  <Company/>
  <LinksUpToDate>false</LinksUpToDate>
  <CharactersWithSpaces>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2025-11-14T09:27:00Z</dcterms:created>
  <dcterms:modified xsi:type="dcterms:W3CDTF">2025-11-14T09:27:00Z</dcterms:modified>
</cp:coreProperties>
</file>