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80" w:rsidRDefault="00034580" w:rsidP="001732FA">
      <w:pPr>
        <w:spacing w:line="580" w:lineRule="exact"/>
        <w:jc w:val="center"/>
        <w:rPr>
          <w:rFonts w:ascii="黑体" w:eastAsia="黑体" w:hint="eastAsia"/>
          <w:color w:val="000000"/>
          <w:sz w:val="32"/>
          <w:szCs w:val="32"/>
        </w:rPr>
      </w:pPr>
      <w:bookmarkStart w:id="0" w:name="docnum"/>
    </w:p>
    <w:p w:rsidR="00034580" w:rsidRDefault="00034580" w:rsidP="001732FA">
      <w:pPr>
        <w:spacing w:line="580" w:lineRule="exact"/>
        <w:jc w:val="center"/>
        <w:rPr>
          <w:rFonts w:ascii="黑体" w:eastAsia="黑体" w:hint="eastAsia"/>
          <w:color w:val="000000"/>
          <w:sz w:val="44"/>
          <w:szCs w:val="44"/>
        </w:rPr>
      </w:pPr>
      <w:r w:rsidRPr="00034580">
        <w:rPr>
          <w:rFonts w:ascii="黑体" w:eastAsia="黑体" w:hint="eastAsia"/>
          <w:color w:val="000000"/>
          <w:sz w:val="44"/>
          <w:szCs w:val="44"/>
        </w:rPr>
        <w:t>中国人民银行贵州省分行公告</w:t>
      </w:r>
    </w:p>
    <w:p w:rsidR="00034580" w:rsidRPr="00034580" w:rsidRDefault="00034580" w:rsidP="001732FA">
      <w:pPr>
        <w:spacing w:line="580" w:lineRule="exact"/>
        <w:jc w:val="center"/>
        <w:rPr>
          <w:rFonts w:ascii="黑体" w:eastAsia="黑体" w:hint="eastAsia"/>
          <w:color w:val="000000"/>
          <w:sz w:val="44"/>
          <w:szCs w:val="44"/>
        </w:rPr>
      </w:pPr>
    </w:p>
    <w:p w:rsidR="001732FA" w:rsidRDefault="001732FA" w:rsidP="001732FA">
      <w:pPr>
        <w:spacing w:line="580" w:lineRule="exact"/>
        <w:jc w:val="center"/>
        <w:rPr>
          <w:rFonts w:ascii="黑体" w:eastAsia="黑体"/>
          <w:color w:val="000000"/>
          <w:sz w:val="32"/>
          <w:szCs w:val="32"/>
        </w:rPr>
      </w:pPr>
      <w:r>
        <w:rPr>
          <w:rFonts w:ascii="黑体" w:eastAsia="黑体"/>
          <w:color w:val="000000"/>
          <w:sz w:val="32"/>
          <w:szCs w:val="32"/>
        </w:rPr>
        <w:t>〔2025〕</w:t>
      </w:r>
      <w:r>
        <w:rPr>
          <w:rFonts w:ascii="黑体" w:eastAsia="黑体" w:hint="eastAsia"/>
          <w:color w:val="000000"/>
          <w:sz w:val="32"/>
          <w:szCs w:val="32"/>
        </w:rPr>
        <w:t>第</w:t>
      </w:r>
      <w:r>
        <w:rPr>
          <w:rFonts w:ascii="黑体" w:eastAsia="黑体"/>
          <w:color w:val="000000"/>
          <w:sz w:val="32"/>
          <w:szCs w:val="32"/>
        </w:rPr>
        <w:t>1号</w:t>
      </w:r>
      <w:bookmarkEnd w:id="0"/>
    </w:p>
    <w:p w:rsidR="001732FA" w:rsidRDefault="001732FA" w:rsidP="001732FA">
      <w:pPr>
        <w:spacing w:line="520" w:lineRule="exact"/>
        <w:rPr>
          <w:rFonts w:ascii="仿宋_GB2312" w:eastAsia="仿宋_GB2312"/>
          <w:color w:val="000000"/>
          <w:sz w:val="30"/>
          <w:szCs w:val="30"/>
        </w:rPr>
      </w:pPr>
    </w:p>
    <w:p w:rsidR="001732FA" w:rsidRDefault="001732FA" w:rsidP="001732FA">
      <w:pPr>
        <w:spacing w:line="560" w:lineRule="exact"/>
        <w:ind w:firstLineChars="200" w:firstLine="640"/>
        <w:rPr>
          <w:rFonts w:ascii="仿宋_GB2312" w:eastAsia="仿宋_GB2312" w:cs="仿宋_GB2312"/>
          <w:sz w:val="32"/>
          <w:szCs w:val="32"/>
        </w:rPr>
      </w:pPr>
      <w:r>
        <w:rPr>
          <w:rFonts w:ascii="仿宋_GB2312" w:eastAsia="仿宋_GB2312" w:hint="eastAsia"/>
          <w:sz w:val="32"/>
          <w:szCs w:val="32"/>
        </w:rPr>
        <w:t>为加强金融法治建设，中国人民银行贵州省分行对制定的规范性文件进行了清理。经清理，决定废止行政规范性文件《中国人民银行贵阳中心支行办公室关于印发〈贵州省国库业务审核管理办法〉的通知》</w:t>
      </w:r>
      <w:r>
        <w:rPr>
          <w:rFonts w:ascii="仿宋_GB2312" w:eastAsia="仿宋_GB2312" w:cs="仿宋_GB2312" w:hint="eastAsia"/>
          <w:sz w:val="32"/>
          <w:szCs w:val="32"/>
        </w:rPr>
        <w:t>（贵银办发</w:t>
      </w:r>
      <w:r>
        <w:rPr>
          <w:rFonts w:ascii="宋体" w:hAnsi="宋体" w:cs="宋体" w:hint="eastAsia"/>
          <w:sz w:val="32"/>
          <w:szCs w:val="32"/>
        </w:rPr>
        <w:t>﹝</w:t>
      </w:r>
      <w:r>
        <w:rPr>
          <w:rFonts w:ascii="仿宋_GB2312" w:eastAsia="仿宋_GB2312" w:cs="仿宋_GB2312" w:hint="eastAsia"/>
          <w:sz w:val="32"/>
          <w:szCs w:val="32"/>
        </w:rPr>
        <w:t>2016</w:t>
      </w:r>
      <w:r>
        <w:rPr>
          <w:rFonts w:ascii="宋体" w:hAnsi="宋体" w:cs="宋体" w:hint="eastAsia"/>
          <w:sz w:val="32"/>
          <w:szCs w:val="32"/>
        </w:rPr>
        <w:t>﹞</w:t>
      </w:r>
      <w:r>
        <w:rPr>
          <w:rFonts w:ascii="仿宋_GB2312" w:eastAsia="仿宋_GB2312" w:cs="仿宋_GB2312" w:hint="eastAsia"/>
          <w:sz w:val="32"/>
          <w:szCs w:val="32"/>
        </w:rPr>
        <w:t>84号）。</w:t>
      </w:r>
    </w:p>
    <w:p w:rsidR="001732FA" w:rsidRDefault="001732FA" w:rsidP="001732FA">
      <w:pPr>
        <w:spacing w:line="560" w:lineRule="exact"/>
        <w:ind w:firstLineChars="200" w:firstLine="640"/>
        <w:rPr>
          <w:rFonts w:ascii="仿宋_GB2312" w:eastAsia="仿宋_GB2312"/>
          <w:sz w:val="32"/>
          <w:szCs w:val="32"/>
        </w:rPr>
      </w:pPr>
      <w:r>
        <w:rPr>
          <w:rFonts w:ascii="仿宋_GB2312" w:eastAsia="仿宋_GB2312" w:hint="eastAsia"/>
          <w:sz w:val="32"/>
          <w:szCs w:val="32"/>
        </w:rPr>
        <w:t>中国人民银行贵州省分行现行有效的行政规范性文件12件，详见附件。</w:t>
      </w:r>
    </w:p>
    <w:p w:rsidR="001732FA" w:rsidRPr="00DB02F4" w:rsidRDefault="001732FA" w:rsidP="001732FA">
      <w:pPr>
        <w:spacing w:line="560" w:lineRule="exact"/>
        <w:ind w:firstLineChars="200" w:firstLine="640"/>
        <w:rPr>
          <w:rFonts w:ascii="仿宋_GB2312" w:eastAsia="仿宋_GB2312"/>
          <w:sz w:val="32"/>
          <w:szCs w:val="32"/>
        </w:rPr>
      </w:pPr>
    </w:p>
    <w:p w:rsidR="001732FA" w:rsidRDefault="001732FA" w:rsidP="00034580">
      <w:pPr>
        <w:spacing w:beforeLines="100" w:line="560" w:lineRule="exact"/>
        <w:ind w:leftChars="304" w:left="1598" w:hangingChars="300" w:hanging="960"/>
        <w:rPr>
          <w:rFonts w:ascii="仿宋_GB2312" w:eastAsia="仿宋_GB2312"/>
          <w:spacing w:val="-6"/>
          <w:sz w:val="32"/>
          <w:szCs w:val="32"/>
        </w:rPr>
      </w:pPr>
      <w:r>
        <w:rPr>
          <w:rFonts w:ascii="仿宋_GB2312" w:eastAsia="仿宋_GB2312" w:hint="eastAsia"/>
          <w:sz w:val="32"/>
          <w:szCs w:val="32"/>
        </w:rPr>
        <w:t>附件：</w:t>
      </w:r>
      <w:r>
        <w:rPr>
          <w:rFonts w:ascii="仿宋_GB2312" w:eastAsia="仿宋_GB2312" w:hint="eastAsia"/>
          <w:spacing w:val="-6"/>
          <w:sz w:val="32"/>
          <w:szCs w:val="32"/>
        </w:rPr>
        <w:t>中国人民银行贵州省分行现行有效的</w:t>
      </w:r>
      <w:r>
        <w:rPr>
          <w:rFonts w:ascii="仿宋_GB2312" w:eastAsia="仿宋_GB2312" w:hint="eastAsia"/>
          <w:sz w:val="32"/>
          <w:szCs w:val="32"/>
        </w:rPr>
        <w:t>行政</w:t>
      </w:r>
      <w:r>
        <w:rPr>
          <w:rFonts w:ascii="仿宋_GB2312" w:eastAsia="仿宋_GB2312" w:hint="eastAsia"/>
          <w:spacing w:val="-6"/>
          <w:sz w:val="32"/>
          <w:szCs w:val="32"/>
        </w:rPr>
        <w:t>规范性文件目录</w:t>
      </w:r>
    </w:p>
    <w:p w:rsidR="001732FA" w:rsidRDefault="001732FA" w:rsidP="00034580">
      <w:pPr>
        <w:spacing w:beforeLines="100" w:line="560" w:lineRule="exact"/>
        <w:ind w:leftChars="304" w:left="1562" w:hangingChars="300" w:hanging="924"/>
        <w:rPr>
          <w:rFonts w:ascii="仿宋_GB2312" w:eastAsia="仿宋_GB2312"/>
          <w:spacing w:val="-6"/>
          <w:sz w:val="32"/>
          <w:szCs w:val="32"/>
        </w:rPr>
      </w:pPr>
    </w:p>
    <w:p w:rsidR="001732FA" w:rsidRDefault="001732FA" w:rsidP="001732FA">
      <w:pPr>
        <w:tabs>
          <w:tab w:val="left" w:pos="7638"/>
        </w:tabs>
        <w:wordWrap w:val="0"/>
        <w:spacing w:line="560" w:lineRule="exact"/>
        <w:jc w:val="right"/>
        <w:rPr>
          <w:rFonts w:ascii="仿宋_GB2312" w:eastAsia="仿宋_GB2312"/>
          <w:snapToGrid w:val="0"/>
          <w:color w:val="000000"/>
          <w:kern w:val="0"/>
          <w:sz w:val="32"/>
          <w:szCs w:val="32"/>
        </w:rPr>
      </w:pPr>
      <w:r>
        <w:rPr>
          <w:rFonts w:ascii="仿宋_GB2312" w:eastAsia="仿宋_GB2312" w:hint="eastAsia"/>
          <w:snapToGrid w:val="0"/>
          <w:color w:val="000000"/>
          <w:kern w:val="0"/>
          <w:sz w:val="32"/>
          <w:szCs w:val="32"/>
        </w:rPr>
        <w:t xml:space="preserve">中国人民银行贵州省分行    </w:t>
      </w:r>
    </w:p>
    <w:p w:rsidR="001732FA" w:rsidRDefault="001732FA" w:rsidP="001732FA">
      <w:pPr>
        <w:spacing w:line="560" w:lineRule="exact"/>
        <w:ind w:rightChars="573" w:right="1203"/>
        <w:jc w:val="right"/>
        <w:rPr>
          <w:rFonts w:ascii="仿宋_GB2312" w:eastAsia="仿宋_GB2312"/>
          <w:snapToGrid w:val="0"/>
          <w:color w:val="000000"/>
          <w:kern w:val="0"/>
          <w:sz w:val="32"/>
          <w:szCs w:val="32"/>
        </w:rPr>
      </w:pPr>
      <w:bookmarkStart w:id="1" w:name="signissuetime"/>
      <w:r>
        <w:rPr>
          <w:rFonts w:ascii="仿宋_GB2312" w:eastAsia="仿宋_GB2312"/>
          <w:snapToGrid w:val="0"/>
          <w:color w:val="000000"/>
          <w:kern w:val="0"/>
          <w:sz w:val="32"/>
          <w:szCs w:val="32"/>
        </w:rPr>
        <w:t>2025年4月7日</w:t>
      </w:r>
      <w:bookmarkEnd w:id="1"/>
    </w:p>
    <w:p w:rsidR="00451A0A" w:rsidRDefault="00451A0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p w:rsidR="001732FA" w:rsidRDefault="001732FA" w:rsidP="001732FA">
      <w:pPr>
        <w:spacing w:line="560" w:lineRule="exact"/>
        <w:ind w:rightChars="573" w:right="1203"/>
        <w:rPr>
          <w:rFonts w:ascii="黑体" w:eastAsia="黑体" w:hAnsi="黑体"/>
          <w:sz w:val="32"/>
          <w:szCs w:val="32"/>
        </w:rPr>
      </w:pPr>
      <w:r>
        <w:rPr>
          <w:rFonts w:ascii="黑体" w:eastAsia="黑体" w:hAnsi="黑体" w:hint="eastAsia"/>
          <w:sz w:val="32"/>
          <w:szCs w:val="32"/>
        </w:rPr>
        <w:t>附件</w:t>
      </w:r>
    </w:p>
    <w:p w:rsidR="001732FA" w:rsidRDefault="001732FA" w:rsidP="001732FA">
      <w:pPr>
        <w:spacing w:line="680" w:lineRule="exact"/>
        <w:jc w:val="center"/>
        <w:rPr>
          <w:rFonts w:ascii="方正小标宋简体" w:eastAsia="方正小标宋简体"/>
          <w:sz w:val="44"/>
          <w:szCs w:val="44"/>
        </w:rPr>
      </w:pPr>
      <w:r>
        <w:rPr>
          <w:rFonts w:ascii="方正小标宋简体" w:eastAsia="方正小标宋简体" w:hint="eastAsia"/>
          <w:sz w:val="44"/>
          <w:szCs w:val="44"/>
        </w:rPr>
        <w:t>中国人民银行贵州省分行</w:t>
      </w:r>
    </w:p>
    <w:p w:rsidR="001732FA" w:rsidRDefault="001732FA" w:rsidP="00034580">
      <w:pPr>
        <w:tabs>
          <w:tab w:val="center" w:pos="4422"/>
          <w:tab w:val="right" w:pos="8844"/>
        </w:tabs>
        <w:spacing w:afterLines="100" w:line="680" w:lineRule="exact"/>
        <w:jc w:val="left"/>
        <w:rPr>
          <w:rFonts w:ascii="方正小标宋简体" w:eastAsia="方正小标宋简体"/>
          <w:sz w:val="44"/>
          <w:szCs w:val="44"/>
        </w:rPr>
      </w:pPr>
      <w:r>
        <w:rPr>
          <w:rFonts w:ascii="方正小标宋简体" w:eastAsia="方正小标宋简体"/>
          <w:sz w:val="44"/>
          <w:szCs w:val="44"/>
        </w:rPr>
        <w:tab/>
      </w:r>
      <w:r>
        <w:rPr>
          <w:rFonts w:ascii="方正小标宋简体" w:eastAsia="方正小标宋简体" w:hint="eastAsia"/>
          <w:sz w:val="44"/>
          <w:szCs w:val="44"/>
        </w:rPr>
        <w:t>现行有效的行政规范性文件目录</w:t>
      </w:r>
    </w:p>
    <w:tbl>
      <w:tblPr>
        <w:tblpPr w:leftFromText="180" w:rightFromText="180" w:vertAnchor="text" w:horzAnchor="margin" w:tblpY="224"/>
        <w:tblOverlap w:val="never"/>
        <w:tblW w:w="9108" w:type="dxa"/>
        <w:tblLayout w:type="fixed"/>
        <w:tblCellMar>
          <w:left w:w="28" w:type="dxa"/>
          <w:right w:w="28" w:type="dxa"/>
        </w:tblCellMar>
        <w:tblLook w:val="0000"/>
      </w:tblPr>
      <w:tblGrid>
        <w:gridCol w:w="760"/>
        <w:gridCol w:w="5760"/>
        <w:gridCol w:w="2588"/>
      </w:tblGrid>
      <w:tr w:rsidR="001732FA" w:rsidTr="009D0FD3">
        <w:trPr>
          <w:trHeight w:val="495"/>
        </w:trPr>
        <w:tc>
          <w:tcPr>
            <w:tcW w:w="760" w:type="dxa"/>
            <w:tcBorders>
              <w:top w:val="single" w:sz="4" w:space="0" w:color="000000"/>
              <w:left w:val="single" w:sz="4" w:space="0" w:color="000000"/>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b/>
                <w:bCs/>
                <w:color w:val="000000"/>
                <w:kern w:val="0"/>
                <w:sz w:val="24"/>
                <w:szCs w:val="24"/>
              </w:rPr>
            </w:pPr>
            <w:r>
              <w:rPr>
                <w:rFonts w:ascii="仿宋_GB2312" w:eastAsia="仿宋_GB2312" w:hint="eastAsia"/>
                <w:b/>
                <w:bCs/>
                <w:color w:val="000000"/>
                <w:kern w:val="0"/>
                <w:sz w:val="24"/>
                <w:szCs w:val="24"/>
              </w:rPr>
              <w:t>序号</w:t>
            </w:r>
          </w:p>
        </w:tc>
        <w:tc>
          <w:tcPr>
            <w:tcW w:w="5760"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b/>
                <w:bCs/>
                <w:color w:val="000000"/>
                <w:kern w:val="0"/>
                <w:sz w:val="24"/>
                <w:szCs w:val="24"/>
              </w:rPr>
            </w:pPr>
            <w:r>
              <w:rPr>
                <w:rFonts w:ascii="仿宋_GB2312" w:eastAsia="仿宋_GB2312" w:hint="eastAsia"/>
                <w:b/>
                <w:bCs/>
                <w:color w:val="000000"/>
                <w:kern w:val="0"/>
                <w:sz w:val="24"/>
                <w:szCs w:val="24"/>
              </w:rPr>
              <w:t>规范性文件名称</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b/>
                <w:bCs/>
                <w:color w:val="000000"/>
                <w:kern w:val="0"/>
                <w:sz w:val="24"/>
                <w:szCs w:val="24"/>
              </w:rPr>
            </w:pPr>
            <w:r>
              <w:rPr>
                <w:rFonts w:ascii="仿宋_GB2312" w:eastAsia="仿宋_GB2312" w:hint="eastAsia"/>
                <w:b/>
                <w:bCs/>
                <w:color w:val="000000"/>
                <w:kern w:val="0"/>
                <w:sz w:val="24"/>
                <w:szCs w:val="24"/>
              </w:rPr>
              <w:t>文号</w:t>
            </w:r>
          </w:p>
        </w:tc>
      </w:tr>
      <w:tr w:rsidR="001732FA" w:rsidTr="009D0FD3">
        <w:trPr>
          <w:trHeight w:val="527"/>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1</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kern w:val="0"/>
                <w:sz w:val="24"/>
                <w:szCs w:val="24"/>
              </w:rPr>
            </w:pPr>
            <w:r>
              <w:rPr>
                <w:rFonts w:ascii="仿宋_GB2312" w:eastAsia="仿宋_GB2312" w:hint="eastAsia"/>
                <w:kern w:val="0"/>
                <w:sz w:val="24"/>
                <w:szCs w:val="24"/>
              </w:rPr>
              <w:t>关于印发《贵州省林权抵押贷款实施意见》的通知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贵银发〔2009〕155号</w:t>
            </w:r>
          </w:p>
        </w:tc>
      </w:tr>
      <w:tr w:rsidR="001732FA" w:rsidTr="009D0FD3">
        <w:trPr>
          <w:trHeight w:val="593"/>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2</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kern w:val="0"/>
                <w:sz w:val="24"/>
                <w:szCs w:val="24"/>
              </w:rPr>
            </w:pPr>
            <w:r>
              <w:rPr>
                <w:rFonts w:ascii="仿宋_GB2312" w:eastAsia="仿宋_GB2312" w:hint="eastAsia"/>
                <w:kern w:val="0"/>
                <w:sz w:val="24"/>
                <w:szCs w:val="24"/>
              </w:rPr>
              <w:t>关于印发《贵州省金融城域网接入管理办法》的通知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贵银发〔2012〕110号</w:t>
            </w:r>
          </w:p>
        </w:tc>
      </w:tr>
      <w:tr w:rsidR="001732FA" w:rsidTr="009D0FD3">
        <w:trPr>
          <w:trHeight w:val="1039"/>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3</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kern w:val="0"/>
                <w:sz w:val="24"/>
                <w:szCs w:val="24"/>
              </w:rPr>
            </w:pPr>
            <w:r>
              <w:rPr>
                <w:rFonts w:ascii="仿宋_GB2312" w:eastAsia="仿宋_GB2312" w:hint="eastAsia"/>
                <w:kern w:val="0"/>
                <w:sz w:val="24"/>
                <w:szCs w:val="24"/>
              </w:rPr>
              <w:t>中国人民银行贵阳中心支行办公室关于转发《中国人民银行办公厅关于加强银行业金融机构黄金市场业务管理有关事项的通知》的通知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贵银办发〔2013〕2号</w:t>
            </w:r>
          </w:p>
        </w:tc>
      </w:tr>
      <w:tr w:rsidR="001732FA" w:rsidTr="009D0FD3">
        <w:trPr>
          <w:trHeight w:hRule="exact" w:val="102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4</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kern w:val="0"/>
                <w:sz w:val="24"/>
                <w:szCs w:val="24"/>
              </w:rPr>
            </w:pPr>
            <w:r>
              <w:rPr>
                <w:rFonts w:ascii="仿宋_GB2312" w:eastAsia="仿宋_GB2312" w:hint="eastAsia"/>
                <w:kern w:val="0"/>
                <w:sz w:val="24"/>
                <w:szCs w:val="24"/>
              </w:rPr>
              <w:t>中国人民银行贵阳中心支行办公室关于印发《贵州省小微机构接入贵州省金融城域网管理办法》和《小微机构接入贵州省金融城域网接入平台指南》的通知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spacing w:val="-6"/>
                <w:kern w:val="0"/>
                <w:sz w:val="24"/>
                <w:szCs w:val="24"/>
              </w:rPr>
            </w:pPr>
            <w:r>
              <w:rPr>
                <w:rFonts w:ascii="仿宋_GB2312" w:eastAsia="仿宋_GB2312" w:hint="eastAsia"/>
                <w:spacing w:val="-6"/>
                <w:kern w:val="0"/>
                <w:sz w:val="24"/>
                <w:szCs w:val="24"/>
              </w:rPr>
              <w:t>贵银办发〔2013〕180号</w:t>
            </w:r>
          </w:p>
        </w:tc>
      </w:tr>
      <w:tr w:rsidR="001732FA" w:rsidTr="009D0FD3">
        <w:trPr>
          <w:trHeight w:hRule="exact" w:val="719"/>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5</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kern w:val="0"/>
                <w:sz w:val="24"/>
                <w:szCs w:val="24"/>
              </w:rPr>
            </w:pPr>
            <w:r>
              <w:rPr>
                <w:rFonts w:ascii="仿宋_GB2312" w:eastAsia="仿宋_GB2312" w:hint="eastAsia"/>
                <w:kern w:val="0"/>
                <w:sz w:val="24"/>
                <w:szCs w:val="24"/>
              </w:rPr>
              <w:t>中国人民银行贵阳中心支行关于印发《贵州省金融机构金融管理与服务指引（试行）》的通知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贵银发〔2014〕48号</w:t>
            </w:r>
          </w:p>
        </w:tc>
      </w:tr>
      <w:tr w:rsidR="001732FA" w:rsidTr="009D0FD3">
        <w:trPr>
          <w:trHeight w:hRule="exact" w:val="719"/>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6</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中国人民银行贵阳中心支行关于进一步加强贵州省银行业金融机构重大事项报告工作的通知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贵银发〔2015〕112号</w:t>
            </w:r>
          </w:p>
        </w:tc>
      </w:tr>
      <w:tr w:rsidR="001732FA" w:rsidTr="009D0FD3">
        <w:trPr>
          <w:trHeight w:hRule="exact" w:val="719"/>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7</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中国人民银行贵阳中心支行关于印发《贵州省〈黄金及黄金制品进出口管理办法〉实施细则》的通知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贵银发〔2015〕167号</w:t>
            </w:r>
          </w:p>
        </w:tc>
      </w:tr>
      <w:tr w:rsidR="001732FA" w:rsidTr="009D0FD3">
        <w:trPr>
          <w:trHeight w:hRule="exact" w:val="102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8</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中国人民银行贵阳中心支行关于转发《中国人民银行关于进一步便利跨国企业集团开展跨境双向人民币资金池业务的通知》的通知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贵银发〔2015〕171号</w:t>
            </w:r>
          </w:p>
        </w:tc>
      </w:tr>
      <w:tr w:rsidR="001732FA" w:rsidTr="009D0FD3">
        <w:trPr>
          <w:trHeight w:hRule="exact" w:val="738"/>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9</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中国人民银行贵阳中心支行关于进一步做好中小（微）企业和农村信用体系建设情况报送的通知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贵银发〔2016〕131号</w:t>
            </w:r>
          </w:p>
        </w:tc>
      </w:tr>
      <w:tr w:rsidR="001732FA" w:rsidTr="009D0FD3">
        <w:trPr>
          <w:trHeight w:hRule="exact" w:val="102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10</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中国人民银行贵阳中心支行关于转发《中国人民银行关于进一步明确境内企业人民币境外放款业务有关事项的通知》的通知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贵银发〔2016〕175号</w:t>
            </w:r>
          </w:p>
        </w:tc>
      </w:tr>
      <w:tr w:rsidR="001732FA" w:rsidTr="009D0FD3">
        <w:trPr>
          <w:trHeight w:hRule="exact" w:val="766"/>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t>11</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中国人民银行贵阳中心支行关于印发《贵州省商业银行代理个人信用报告自助查询服务管理办法》的通知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贵银发〔2017〕101号</w:t>
            </w:r>
          </w:p>
        </w:tc>
      </w:tr>
      <w:tr w:rsidR="001732FA" w:rsidTr="009D0FD3">
        <w:trPr>
          <w:trHeight w:hRule="exact" w:val="761"/>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2FA" w:rsidRDefault="001732FA" w:rsidP="009D0FD3">
            <w:pPr>
              <w:widowControl/>
              <w:spacing w:line="240" w:lineRule="atLeast"/>
              <w:jc w:val="center"/>
              <w:rPr>
                <w:rFonts w:ascii="仿宋_GB2312" w:eastAsia="仿宋_GB2312"/>
                <w:kern w:val="0"/>
                <w:sz w:val="24"/>
                <w:szCs w:val="24"/>
              </w:rPr>
            </w:pPr>
            <w:r>
              <w:rPr>
                <w:rFonts w:ascii="仿宋_GB2312" w:eastAsia="仿宋_GB2312" w:hint="eastAsia"/>
                <w:kern w:val="0"/>
                <w:sz w:val="24"/>
                <w:szCs w:val="24"/>
              </w:rPr>
              <w:lastRenderedPageBreak/>
              <w:t>12</w:t>
            </w:r>
          </w:p>
        </w:tc>
        <w:tc>
          <w:tcPr>
            <w:tcW w:w="5760" w:type="dxa"/>
            <w:tcBorders>
              <w:top w:val="single" w:sz="4" w:space="0" w:color="000000"/>
              <w:left w:val="nil"/>
              <w:bottom w:val="single" w:sz="4" w:space="0" w:color="000000"/>
              <w:right w:val="single" w:sz="4" w:space="0" w:color="000000"/>
            </w:tcBorders>
            <w:shd w:val="clear" w:color="auto" w:fill="FFFFFF"/>
            <w:vAlign w:val="center"/>
          </w:tcPr>
          <w:p w:rsidR="001732FA" w:rsidRDefault="001732FA" w:rsidP="009D0FD3">
            <w:pPr>
              <w:widowControl/>
              <w:spacing w:line="240" w:lineRule="atLeast"/>
              <w:rPr>
                <w:rFonts w:ascii="仿宋_GB2312" w:eastAsia="仿宋_GB2312"/>
                <w:color w:val="000000"/>
                <w:kern w:val="0"/>
                <w:sz w:val="24"/>
                <w:szCs w:val="24"/>
              </w:rPr>
            </w:pPr>
            <w:r>
              <w:rPr>
                <w:rFonts w:ascii="仿宋_GB2312" w:eastAsia="仿宋_GB2312" w:hint="eastAsia"/>
                <w:color w:val="000000"/>
                <w:kern w:val="0"/>
                <w:sz w:val="24"/>
                <w:szCs w:val="24"/>
              </w:rPr>
              <w:t>中国人民银行贵阳中心支行关于印发《贵州省助农取款服务管理办法》的通知</w:t>
            </w:r>
          </w:p>
        </w:tc>
        <w:tc>
          <w:tcPr>
            <w:tcW w:w="2588" w:type="dxa"/>
            <w:tcBorders>
              <w:top w:val="single" w:sz="4" w:space="0" w:color="000000"/>
              <w:left w:val="nil"/>
              <w:bottom w:val="single" w:sz="4" w:space="0" w:color="000000"/>
              <w:right w:val="single" w:sz="4" w:space="0" w:color="000000"/>
            </w:tcBorders>
            <w:vAlign w:val="center"/>
          </w:tcPr>
          <w:p w:rsidR="001732FA" w:rsidRDefault="001732FA" w:rsidP="009D0FD3">
            <w:pPr>
              <w:widowControl/>
              <w:spacing w:line="240" w:lineRule="atLeast"/>
              <w:jc w:val="center"/>
              <w:rPr>
                <w:rFonts w:ascii="仿宋_GB2312" w:eastAsia="仿宋_GB2312"/>
                <w:color w:val="000000"/>
                <w:kern w:val="0"/>
                <w:sz w:val="24"/>
                <w:szCs w:val="24"/>
              </w:rPr>
            </w:pPr>
            <w:r>
              <w:rPr>
                <w:rFonts w:ascii="仿宋_GB2312" w:eastAsia="仿宋_GB2312" w:hint="eastAsia"/>
                <w:color w:val="000000"/>
                <w:kern w:val="0"/>
                <w:sz w:val="24"/>
                <w:szCs w:val="24"/>
              </w:rPr>
              <w:t>贵银发〔2017〕106号</w:t>
            </w:r>
          </w:p>
        </w:tc>
      </w:tr>
    </w:tbl>
    <w:p w:rsidR="001732FA" w:rsidRDefault="001732FA"/>
    <w:sectPr w:rsidR="001732FA" w:rsidSect="00451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E4D" w:rsidRPr="00FA7244" w:rsidRDefault="00E86E4D" w:rsidP="00034580">
      <w:pPr>
        <w:ind w:firstLine="480"/>
        <w:rPr>
          <w:kern w:val="0"/>
          <w:sz w:val="24"/>
        </w:rPr>
      </w:pPr>
      <w:r>
        <w:separator/>
      </w:r>
    </w:p>
  </w:endnote>
  <w:endnote w:type="continuationSeparator" w:id="1">
    <w:p w:rsidR="00E86E4D" w:rsidRPr="00FA7244" w:rsidRDefault="00E86E4D" w:rsidP="00034580">
      <w:pPr>
        <w:ind w:firstLine="480"/>
        <w:rPr>
          <w:kern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E4D" w:rsidRPr="00FA7244" w:rsidRDefault="00E86E4D" w:rsidP="00034580">
      <w:pPr>
        <w:ind w:firstLine="480"/>
        <w:rPr>
          <w:kern w:val="0"/>
          <w:sz w:val="24"/>
        </w:rPr>
      </w:pPr>
      <w:r>
        <w:separator/>
      </w:r>
    </w:p>
  </w:footnote>
  <w:footnote w:type="continuationSeparator" w:id="1">
    <w:p w:rsidR="00E86E4D" w:rsidRPr="00FA7244" w:rsidRDefault="00E86E4D" w:rsidP="00034580">
      <w:pPr>
        <w:ind w:firstLine="480"/>
        <w:rPr>
          <w:kern w:val="0"/>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32FA"/>
    <w:rsid w:val="00034580"/>
    <w:rsid w:val="000633EB"/>
    <w:rsid w:val="00065ECB"/>
    <w:rsid w:val="001214C5"/>
    <w:rsid w:val="001732FA"/>
    <w:rsid w:val="001A6D3B"/>
    <w:rsid w:val="001E4C15"/>
    <w:rsid w:val="00206885"/>
    <w:rsid w:val="00220B2A"/>
    <w:rsid w:val="002E7767"/>
    <w:rsid w:val="00370949"/>
    <w:rsid w:val="00451A0A"/>
    <w:rsid w:val="00483897"/>
    <w:rsid w:val="004A235F"/>
    <w:rsid w:val="005148F8"/>
    <w:rsid w:val="00587A41"/>
    <w:rsid w:val="005C6EB4"/>
    <w:rsid w:val="00614229"/>
    <w:rsid w:val="00696D40"/>
    <w:rsid w:val="00743E95"/>
    <w:rsid w:val="007A14FB"/>
    <w:rsid w:val="007C68CA"/>
    <w:rsid w:val="008028A2"/>
    <w:rsid w:val="00836D5E"/>
    <w:rsid w:val="008B7880"/>
    <w:rsid w:val="00927E33"/>
    <w:rsid w:val="00A84C59"/>
    <w:rsid w:val="00A854F5"/>
    <w:rsid w:val="00AA683E"/>
    <w:rsid w:val="00AC2AF8"/>
    <w:rsid w:val="00B32BF6"/>
    <w:rsid w:val="00B33D56"/>
    <w:rsid w:val="00BB3991"/>
    <w:rsid w:val="00BF4E59"/>
    <w:rsid w:val="00D85344"/>
    <w:rsid w:val="00DA38E9"/>
    <w:rsid w:val="00DA46EF"/>
    <w:rsid w:val="00DA4E6F"/>
    <w:rsid w:val="00DA55F6"/>
    <w:rsid w:val="00DB626E"/>
    <w:rsid w:val="00E86E4D"/>
    <w:rsid w:val="00EF0CA6"/>
    <w:rsid w:val="00F25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2F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45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4580"/>
    <w:rPr>
      <w:kern w:val="2"/>
      <w:sz w:val="18"/>
      <w:szCs w:val="18"/>
    </w:rPr>
  </w:style>
  <w:style w:type="paragraph" w:styleId="a4">
    <w:name w:val="footer"/>
    <w:basedOn w:val="a"/>
    <w:link w:val="Char0"/>
    <w:uiPriority w:val="99"/>
    <w:semiHidden/>
    <w:unhideWhenUsed/>
    <w:rsid w:val="000345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458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汪楠</dc:creator>
  <cp:lastModifiedBy>汪楠</cp:lastModifiedBy>
  <cp:revision>2</cp:revision>
  <dcterms:created xsi:type="dcterms:W3CDTF">2025-04-09T08:10:00Z</dcterms:created>
  <dcterms:modified xsi:type="dcterms:W3CDTF">2025-04-09T09:20:00Z</dcterms:modified>
</cp:coreProperties>
</file>